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C07D9" w:rsidRPr="000521AD" w:rsidRDefault="002C07D9" w:rsidP="002C07D9">
      <w:pPr>
        <w:jc w:val="center"/>
        <w:rPr>
          <w:rFonts w:ascii="Georgia" w:hAnsi="Georgia"/>
          <w:sz w:val="22"/>
          <w:szCs w:val="22"/>
          <w:lang w:val="fr-FR"/>
        </w:rPr>
      </w:pPr>
      <w:bookmarkStart w:id="0" w:name="_GoBack"/>
      <w:bookmarkEnd w:id="0"/>
      <w:r w:rsidRPr="000521AD">
        <w:rPr>
          <w:rFonts w:ascii="Georgia" w:hAnsi="Georgia"/>
          <w:noProof/>
          <w:sz w:val="22"/>
          <w:szCs w:val="22"/>
        </w:rPr>
        <w:drawing>
          <wp:inline distT="0" distB="0" distL="0" distR="0" wp14:anchorId="1784542F" wp14:editId="4A9E4792">
            <wp:extent cx="3200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jpg"/>
                    <pic:cNvPicPr/>
                  </pic:nvPicPr>
                  <pic:blipFill>
                    <a:blip r:embed="rId5" cstate="print">
                      <a:clrChange>
                        <a:clrFrom>
                          <a:srgbClr val="F5F9F8"/>
                        </a:clrFrom>
                        <a:clrTo>
                          <a:srgbClr val="F5F9F8">
                            <a:alpha val="0"/>
                          </a:srgbClr>
                        </a:clrTo>
                      </a:clrChange>
                      <a:extLst>
                        <a:ext uri="{28A0092B-C50C-407E-A947-70E740481C1C}">
                          <a14:useLocalDpi xmlns:a14="http://schemas.microsoft.com/office/drawing/2010/main" val="0"/>
                        </a:ext>
                      </a:extLst>
                    </a:blip>
                    <a:stretch>
                      <a:fillRect/>
                    </a:stretch>
                  </pic:blipFill>
                  <pic:spPr>
                    <a:xfrm>
                      <a:off x="0" y="0"/>
                      <a:ext cx="3200400" cy="1371600"/>
                    </a:xfrm>
                    <a:prstGeom prst="rect">
                      <a:avLst/>
                    </a:prstGeom>
                  </pic:spPr>
                </pic:pic>
              </a:graphicData>
            </a:graphic>
          </wp:inline>
        </w:drawing>
      </w:r>
    </w:p>
    <w:p w14:paraId="0A37501D" w14:textId="77777777" w:rsidR="002C07D9" w:rsidRPr="000521AD" w:rsidRDefault="002C07D9" w:rsidP="002C07D9">
      <w:pPr>
        <w:tabs>
          <w:tab w:val="left" w:pos="1890"/>
        </w:tabs>
        <w:rPr>
          <w:rFonts w:ascii="Georgia" w:hAnsi="Georgia"/>
          <w:sz w:val="22"/>
          <w:szCs w:val="22"/>
          <w:lang w:val="fr-FR"/>
        </w:rPr>
      </w:pPr>
      <w:r w:rsidRPr="000521AD">
        <w:rPr>
          <w:rFonts w:ascii="Georgia" w:hAnsi="Georgia"/>
          <w:sz w:val="22"/>
          <w:szCs w:val="22"/>
          <w:lang w:val="fr-FR"/>
        </w:rPr>
        <w:tab/>
      </w:r>
    </w:p>
    <w:p w14:paraId="5DAB6C7B" w14:textId="77777777" w:rsidR="003B57AA" w:rsidRPr="000521AD" w:rsidRDefault="003B57AA" w:rsidP="002C07D9">
      <w:pPr>
        <w:tabs>
          <w:tab w:val="left" w:pos="1890"/>
        </w:tabs>
        <w:rPr>
          <w:rFonts w:ascii="Georgia" w:hAnsi="Georgia"/>
          <w:sz w:val="22"/>
          <w:szCs w:val="22"/>
          <w:lang w:val="fr-FR"/>
        </w:rPr>
      </w:pPr>
    </w:p>
    <w:p w14:paraId="02EB378F" w14:textId="77777777" w:rsidR="003B57AA" w:rsidRPr="000521AD" w:rsidRDefault="003B57AA" w:rsidP="003B57AA">
      <w:pPr>
        <w:tabs>
          <w:tab w:val="left" w:pos="1890"/>
        </w:tabs>
        <w:jc w:val="center"/>
        <w:rPr>
          <w:rFonts w:asciiTheme="minorHAnsi" w:hAnsiTheme="minorHAnsi"/>
          <w:sz w:val="22"/>
          <w:szCs w:val="22"/>
          <w:lang w:val="fr-FR"/>
        </w:rPr>
      </w:pPr>
    </w:p>
    <w:p w14:paraId="5099398E" w14:textId="3FABB2D3" w:rsidR="00C35CC8" w:rsidRPr="000521AD" w:rsidRDefault="00C35CC8" w:rsidP="003B57AA">
      <w:pPr>
        <w:tabs>
          <w:tab w:val="left" w:pos="1890"/>
        </w:tabs>
        <w:jc w:val="center"/>
        <w:rPr>
          <w:rFonts w:asciiTheme="minorHAnsi" w:hAnsiTheme="minorHAnsi"/>
          <w:sz w:val="22"/>
          <w:szCs w:val="22"/>
          <w:lang w:val="fr-FR"/>
        </w:rPr>
      </w:pPr>
      <w:r w:rsidRPr="000521AD">
        <w:rPr>
          <w:rFonts w:asciiTheme="minorHAnsi" w:hAnsiTheme="minorHAnsi"/>
          <w:sz w:val="22"/>
          <w:szCs w:val="22"/>
          <w:lang w:val="fr-FR"/>
        </w:rPr>
        <w:t>Élargir le spectre : Le rôle des textes</w:t>
      </w:r>
    </w:p>
    <w:p w14:paraId="6A05A809" w14:textId="77777777" w:rsidR="003B57AA" w:rsidRPr="000521AD" w:rsidRDefault="003B57AA" w:rsidP="003B57AA">
      <w:pPr>
        <w:tabs>
          <w:tab w:val="left" w:pos="1890"/>
        </w:tabs>
        <w:jc w:val="center"/>
        <w:rPr>
          <w:rFonts w:asciiTheme="minorHAnsi" w:hAnsiTheme="minorHAnsi"/>
          <w:sz w:val="22"/>
          <w:szCs w:val="22"/>
          <w:lang w:val="fr-FR"/>
        </w:rPr>
      </w:pPr>
    </w:p>
    <w:p w14:paraId="2D3A4F5E" w14:textId="198D2C8F" w:rsidR="00C35CC8" w:rsidRPr="000521AD" w:rsidRDefault="00C35CC8" w:rsidP="00C35CC8">
      <w:pPr>
        <w:tabs>
          <w:tab w:val="left" w:pos="1890"/>
        </w:tabs>
        <w:rPr>
          <w:rFonts w:asciiTheme="minorHAnsi" w:hAnsiTheme="minorHAnsi"/>
          <w:sz w:val="22"/>
          <w:szCs w:val="22"/>
          <w:lang w:val="fr-FR"/>
        </w:rPr>
      </w:pPr>
      <w:r w:rsidRPr="000521AD">
        <w:rPr>
          <w:rFonts w:asciiTheme="minorHAnsi" w:hAnsiTheme="minorHAnsi"/>
          <w:sz w:val="22"/>
          <w:szCs w:val="22"/>
          <w:lang w:val="fr-FR"/>
        </w:rPr>
        <w:t xml:space="preserve">Les 3 et 4 juin 2019, bibliographes et historiens du livre se réuniront au Congrès des Sciences Humaines </w:t>
      </w:r>
      <w:r w:rsidR="000521AD">
        <w:rPr>
          <w:rFonts w:asciiTheme="minorHAnsi" w:hAnsiTheme="minorHAnsi"/>
          <w:sz w:val="22"/>
          <w:szCs w:val="22"/>
          <w:lang w:val="fr-FR"/>
        </w:rPr>
        <w:t xml:space="preserve">tenu </w:t>
      </w:r>
      <w:r w:rsidRPr="000521AD">
        <w:rPr>
          <w:rFonts w:asciiTheme="minorHAnsi" w:hAnsiTheme="minorHAnsi"/>
          <w:sz w:val="22"/>
          <w:szCs w:val="22"/>
          <w:lang w:val="fr-FR"/>
        </w:rPr>
        <w:t>à Vancouv</w:t>
      </w:r>
      <w:r w:rsidR="00E64174" w:rsidRPr="000521AD">
        <w:rPr>
          <w:rFonts w:asciiTheme="minorHAnsi" w:hAnsiTheme="minorHAnsi"/>
          <w:sz w:val="22"/>
          <w:szCs w:val="22"/>
          <w:lang w:val="fr-FR"/>
        </w:rPr>
        <w:t>er, Colombie-</w:t>
      </w:r>
      <w:r w:rsidRPr="000521AD">
        <w:rPr>
          <w:rFonts w:asciiTheme="minorHAnsi" w:hAnsiTheme="minorHAnsi"/>
          <w:sz w:val="22"/>
          <w:szCs w:val="22"/>
          <w:lang w:val="fr-FR"/>
        </w:rPr>
        <w:t xml:space="preserve">Britannique, afin d’étudier le rôle des textes comme vecteurs de conversations entre Canadiens </w:t>
      </w:r>
      <w:r w:rsidR="00E64174" w:rsidRPr="000521AD">
        <w:rPr>
          <w:rFonts w:asciiTheme="minorHAnsi" w:hAnsiTheme="minorHAnsi"/>
          <w:sz w:val="22"/>
          <w:szCs w:val="22"/>
          <w:lang w:val="fr-FR"/>
        </w:rPr>
        <w:t xml:space="preserve">de toutes les époques et d’examiner la mutation des formes du livre alors que celui-ci se décline à travers de multiples plateformes interactives et numériques. </w:t>
      </w:r>
    </w:p>
    <w:p w14:paraId="16C20936" w14:textId="77777777" w:rsidR="00E64174" w:rsidRPr="000521AD" w:rsidRDefault="00E64174" w:rsidP="00C35CC8">
      <w:pPr>
        <w:tabs>
          <w:tab w:val="left" w:pos="1890"/>
        </w:tabs>
        <w:rPr>
          <w:rFonts w:asciiTheme="minorHAnsi" w:hAnsiTheme="minorHAnsi"/>
          <w:sz w:val="22"/>
          <w:szCs w:val="22"/>
          <w:lang w:val="fr-FR"/>
        </w:rPr>
      </w:pPr>
    </w:p>
    <w:p w14:paraId="73B2DFB9" w14:textId="71BF9483" w:rsidR="00362516" w:rsidRPr="000521AD" w:rsidRDefault="00362516" w:rsidP="00C35CC8">
      <w:pPr>
        <w:tabs>
          <w:tab w:val="left" w:pos="1890"/>
        </w:tabs>
        <w:rPr>
          <w:rFonts w:asciiTheme="minorHAnsi" w:hAnsiTheme="minorHAnsi"/>
          <w:sz w:val="22"/>
          <w:szCs w:val="22"/>
          <w:lang w:val="fr-FR"/>
        </w:rPr>
      </w:pPr>
      <w:r w:rsidRPr="000521AD">
        <w:rPr>
          <w:rFonts w:asciiTheme="minorHAnsi" w:hAnsiTheme="minorHAnsi"/>
          <w:sz w:val="22"/>
          <w:szCs w:val="22"/>
          <w:lang w:val="fr-FR"/>
        </w:rPr>
        <w:t>Afin d’explorer ces thématiques, nous invitons des propositions de communication et de panels qui abordent :</w:t>
      </w:r>
    </w:p>
    <w:p w14:paraId="5DB164F7" w14:textId="77777777" w:rsidR="00362516" w:rsidRPr="000521AD" w:rsidRDefault="00362516" w:rsidP="00C35CC8">
      <w:pPr>
        <w:tabs>
          <w:tab w:val="left" w:pos="1890"/>
        </w:tabs>
        <w:rPr>
          <w:rFonts w:asciiTheme="minorHAnsi" w:hAnsiTheme="minorHAnsi"/>
          <w:sz w:val="22"/>
          <w:szCs w:val="22"/>
          <w:lang w:val="fr-FR"/>
        </w:rPr>
      </w:pPr>
    </w:p>
    <w:p w14:paraId="797B4FD6" w14:textId="1A7C6948" w:rsidR="00362516" w:rsidRPr="000521AD" w:rsidRDefault="00362516" w:rsidP="00362516">
      <w:pPr>
        <w:pStyle w:val="ListParagraph"/>
        <w:numPr>
          <w:ilvl w:val="0"/>
          <w:numId w:val="2"/>
        </w:numPr>
        <w:tabs>
          <w:tab w:val="left" w:pos="1890"/>
        </w:tabs>
        <w:rPr>
          <w:rFonts w:asciiTheme="minorHAnsi" w:hAnsiTheme="minorHAnsi"/>
          <w:sz w:val="22"/>
          <w:szCs w:val="22"/>
          <w:lang w:val="fr-FR"/>
        </w:rPr>
      </w:pPr>
      <w:r w:rsidRPr="000521AD">
        <w:rPr>
          <w:rFonts w:asciiTheme="minorHAnsi" w:hAnsiTheme="minorHAnsi"/>
          <w:sz w:val="22"/>
          <w:szCs w:val="22"/>
          <w:lang w:val="fr-FR"/>
        </w:rPr>
        <w:t xml:space="preserve">La décolonisation de la recherche bibliographique afin de remédier aux iniquités de représentations, d’approches et de genres ; </w:t>
      </w:r>
    </w:p>
    <w:p w14:paraId="31DFB1D8" w14:textId="33B21E0F" w:rsidR="00362516" w:rsidRPr="000521AD" w:rsidRDefault="00A36921" w:rsidP="00362516">
      <w:pPr>
        <w:pStyle w:val="ListParagraph"/>
        <w:numPr>
          <w:ilvl w:val="0"/>
          <w:numId w:val="2"/>
        </w:numPr>
        <w:tabs>
          <w:tab w:val="left" w:pos="1890"/>
        </w:tabs>
        <w:rPr>
          <w:rFonts w:asciiTheme="minorHAnsi" w:hAnsiTheme="minorHAnsi"/>
          <w:sz w:val="22"/>
          <w:szCs w:val="22"/>
          <w:lang w:val="fr-FR"/>
        </w:rPr>
      </w:pPr>
      <w:r w:rsidRPr="000521AD">
        <w:rPr>
          <w:rFonts w:asciiTheme="minorHAnsi" w:hAnsiTheme="minorHAnsi"/>
          <w:sz w:val="22"/>
          <w:szCs w:val="22"/>
          <w:lang w:val="fr-FR"/>
        </w:rPr>
        <w:t>La trajectoire des imprimés qui trouvent une nouvelle circulation grâce aux numérisations et réimpressions commanditées par des institutions publiques ;</w:t>
      </w:r>
    </w:p>
    <w:p w14:paraId="25092252" w14:textId="57F339AC" w:rsidR="00A36921" w:rsidRPr="000521AD" w:rsidRDefault="00E1488C" w:rsidP="00362516">
      <w:pPr>
        <w:pStyle w:val="ListParagraph"/>
        <w:numPr>
          <w:ilvl w:val="0"/>
          <w:numId w:val="2"/>
        </w:numPr>
        <w:tabs>
          <w:tab w:val="left" w:pos="1890"/>
        </w:tabs>
        <w:rPr>
          <w:rFonts w:asciiTheme="minorHAnsi" w:hAnsiTheme="minorHAnsi"/>
          <w:sz w:val="22"/>
          <w:szCs w:val="22"/>
          <w:lang w:val="fr-FR"/>
        </w:rPr>
      </w:pPr>
      <w:r w:rsidRPr="000521AD">
        <w:rPr>
          <w:rFonts w:asciiTheme="minorHAnsi" w:hAnsiTheme="minorHAnsi"/>
          <w:sz w:val="22"/>
          <w:szCs w:val="22"/>
          <w:lang w:val="fr-FR"/>
        </w:rPr>
        <w:t>Le développement et l’impact des clubs de lecture, des groupes de discussion littéraire</w:t>
      </w:r>
      <w:r w:rsidR="000521AD">
        <w:rPr>
          <w:rFonts w:asciiTheme="minorHAnsi" w:hAnsiTheme="minorHAnsi"/>
          <w:sz w:val="22"/>
          <w:szCs w:val="22"/>
          <w:lang w:val="fr-FR"/>
        </w:rPr>
        <w:t>s</w:t>
      </w:r>
      <w:r w:rsidRPr="000521AD">
        <w:rPr>
          <w:rFonts w:asciiTheme="minorHAnsi" w:hAnsiTheme="minorHAnsi"/>
          <w:sz w:val="22"/>
          <w:szCs w:val="22"/>
          <w:lang w:val="fr-FR"/>
        </w:rPr>
        <w:t xml:space="preserve"> privés ou publiques, des blogues littéraires, des comptes rendus en ligne et des prix littéraires dans le façonnement des goûts littéraires et des attentes chez les lecteurs ;</w:t>
      </w:r>
    </w:p>
    <w:p w14:paraId="7100ECEE" w14:textId="10E2B9FF" w:rsidR="00E1488C" w:rsidRPr="000521AD" w:rsidRDefault="009E7111" w:rsidP="00362516">
      <w:pPr>
        <w:pStyle w:val="ListParagraph"/>
        <w:numPr>
          <w:ilvl w:val="0"/>
          <w:numId w:val="2"/>
        </w:numPr>
        <w:tabs>
          <w:tab w:val="left" w:pos="1890"/>
        </w:tabs>
        <w:rPr>
          <w:rFonts w:asciiTheme="minorHAnsi" w:hAnsiTheme="minorHAnsi"/>
          <w:sz w:val="22"/>
          <w:szCs w:val="22"/>
          <w:lang w:val="fr-FR"/>
        </w:rPr>
      </w:pPr>
      <w:r w:rsidRPr="000521AD">
        <w:rPr>
          <w:rFonts w:asciiTheme="minorHAnsi" w:hAnsiTheme="minorHAnsi"/>
          <w:sz w:val="22"/>
          <w:szCs w:val="22"/>
          <w:lang w:val="fr-FR"/>
        </w:rPr>
        <w:t>Le rôle joué par les presses locales et les journaux littéraires universitaires afin de donner une voix auparavant inexis</w:t>
      </w:r>
      <w:r w:rsidR="00674FF6" w:rsidRPr="000521AD">
        <w:rPr>
          <w:rFonts w:asciiTheme="minorHAnsi" w:hAnsiTheme="minorHAnsi"/>
          <w:sz w:val="22"/>
          <w:szCs w:val="22"/>
          <w:lang w:val="fr-FR"/>
        </w:rPr>
        <w:t>tante à de nouveaux acteurs et de</w:t>
      </w:r>
      <w:r w:rsidRPr="000521AD">
        <w:rPr>
          <w:rFonts w:asciiTheme="minorHAnsi" w:hAnsiTheme="minorHAnsi"/>
          <w:sz w:val="22"/>
          <w:szCs w:val="22"/>
          <w:lang w:val="fr-FR"/>
        </w:rPr>
        <w:t xml:space="preserve"> former les futurs écrivains et éditeurs ;</w:t>
      </w:r>
    </w:p>
    <w:p w14:paraId="2CE818F0" w14:textId="24767A0E" w:rsidR="00E64174" w:rsidRPr="000521AD" w:rsidRDefault="00625E8E" w:rsidP="00C35CC8">
      <w:pPr>
        <w:pStyle w:val="ListParagraph"/>
        <w:numPr>
          <w:ilvl w:val="0"/>
          <w:numId w:val="2"/>
        </w:numPr>
        <w:tabs>
          <w:tab w:val="left" w:pos="1890"/>
        </w:tabs>
        <w:rPr>
          <w:rFonts w:asciiTheme="minorHAnsi" w:hAnsiTheme="minorHAnsi"/>
          <w:sz w:val="22"/>
          <w:szCs w:val="22"/>
          <w:lang w:val="fr-FR"/>
        </w:rPr>
      </w:pPr>
      <w:r w:rsidRPr="000521AD">
        <w:rPr>
          <w:rFonts w:asciiTheme="minorHAnsi" w:hAnsiTheme="minorHAnsi"/>
          <w:sz w:val="22"/>
          <w:szCs w:val="22"/>
          <w:lang w:val="fr-FR"/>
        </w:rPr>
        <w:t xml:space="preserve">Le rôle des traducteurs et/ou des historiens culturels qui permettent à un plus grand nombre de lecteurs d’avoir accès à un large éventail de textes ; </w:t>
      </w:r>
    </w:p>
    <w:p w14:paraId="3E63ED1F" w14:textId="173C0A68" w:rsidR="00625E8E" w:rsidRPr="000521AD" w:rsidRDefault="009C2B60" w:rsidP="00C35CC8">
      <w:pPr>
        <w:pStyle w:val="ListParagraph"/>
        <w:numPr>
          <w:ilvl w:val="0"/>
          <w:numId w:val="2"/>
        </w:numPr>
        <w:tabs>
          <w:tab w:val="left" w:pos="1890"/>
        </w:tabs>
        <w:rPr>
          <w:rFonts w:asciiTheme="minorHAnsi" w:hAnsiTheme="minorHAnsi"/>
          <w:sz w:val="22"/>
          <w:szCs w:val="22"/>
          <w:lang w:val="fr-FR"/>
        </w:rPr>
      </w:pPr>
      <w:r w:rsidRPr="000521AD">
        <w:rPr>
          <w:rFonts w:asciiTheme="minorHAnsi" w:hAnsiTheme="minorHAnsi"/>
          <w:sz w:val="22"/>
          <w:szCs w:val="22"/>
          <w:lang w:val="fr-FR"/>
        </w:rPr>
        <w:t>L’impact du marché des livres rares sur la création d’archives littéraires ;</w:t>
      </w:r>
    </w:p>
    <w:p w14:paraId="70353ABB" w14:textId="724433CD" w:rsidR="00625E8E" w:rsidRPr="000521AD" w:rsidRDefault="009C2B60" w:rsidP="00625E8E">
      <w:pPr>
        <w:pStyle w:val="ListParagraph"/>
        <w:numPr>
          <w:ilvl w:val="0"/>
          <w:numId w:val="2"/>
        </w:numPr>
        <w:tabs>
          <w:tab w:val="left" w:pos="1890"/>
        </w:tabs>
        <w:rPr>
          <w:rFonts w:asciiTheme="minorHAnsi" w:hAnsiTheme="minorHAnsi"/>
          <w:sz w:val="22"/>
          <w:szCs w:val="22"/>
          <w:lang w:val="fr-FR"/>
        </w:rPr>
      </w:pPr>
      <w:r w:rsidRPr="000521AD">
        <w:rPr>
          <w:rFonts w:asciiTheme="minorHAnsi" w:hAnsiTheme="minorHAnsi"/>
          <w:sz w:val="22"/>
          <w:szCs w:val="22"/>
          <w:lang w:val="fr-FR"/>
        </w:rPr>
        <w:t>L’influence qu’ont la matérialité et les procédés de publication dans les façons qu’un livre sera lu, perçu et mis en marché ;</w:t>
      </w:r>
    </w:p>
    <w:p w14:paraId="3D843662" w14:textId="7F42ECE7" w:rsidR="009C2B60" w:rsidRPr="000521AD" w:rsidRDefault="009C2B60" w:rsidP="00625E8E">
      <w:pPr>
        <w:pStyle w:val="ListParagraph"/>
        <w:numPr>
          <w:ilvl w:val="0"/>
          <w:numId w:val="2"/>
        </w:numPr>
        <w:tabs>
          <w:tab w:val="left" w:pos="1890"/>
        </w:tabs>
        <w:rPr>
          <w:rFonts w:asciiTheme="minorHAnsi" w:hAnsiTheme="minorHAnsi"/>
          <w:sz w:val="22"/>
          <w:szCs w:val="22"/>
          <w:lang w:val="fr-FR"/>
        </w:rPr>
      </w:pPr>
      <w:r w:rsidRPr="000521AD">
        <w:rPr>
          <w:rFonts w:asciiTheme="minorHAnsi" w:hAnsiTheme="minorHAnsi"/>
          <w:sz w:val="22"/>
          <w:szCs w:val="22"/>
          <w:lang w:val="fr-FR"/>
        </w:rPr>
        <w:t>L’évolution du dialogue entre la publication analogue et numérique.</w:t>
      </w:r>
    </w:p>
    <w:p w14:paraId="514D7C5B" w14:textId="77777777" w:rsidR="009C2B60" w:rsidRPr="000521AD" w:rsidRDefault="009C2B60" w:rsidP="009C2B60">
      <w:pPr>
        <w:tabs>
          <w:tab w:val="left" w:pos="1890"/>
        </w:tabs>
        <w:rPr>
          <w:rFonts w:asciiTheme="minorHAnsi" w:hAnsiTheme="minorHAnsi"/>
          <w:sz w:val="22"/>
          <w:szCs w:val="22"/>
          <w:lang w:val="fr-FR"/>
        </w:rPr>
      </w:pPr>
    </w:p>
    <w:p w14:paraId="45876163" w14:textId="0B6154E3" w:rsidR="009C2B60" w:rsidRPr="000521AD" w:rsidRDefault="00B0176E" w:rsidP="000D40B7">
      <w:pPr>
        <w:tabs>
          <w:tab w:val="left" w:pos="1890"/>
        </w:tabs>
        <w:rPr>
          <w:rFonts w:asciiTheme="minorHAnsi" w:hAnsiTheme="minorHAnsi"/>
          <w:sz w:val="22"/>
          <w:szCs w:val="22"/>
          <w:lang w:val="fr-FR"/>
        </w:rPr>
      </w:pPr>
      <w:r w:rsidRPr="000521AD">
        <w:rPr>
          <w:rFonts w:asciiTheme="minorHAnsi" w:hAnsiTheme="minorHAnsi"/>
          <w:sz w:val="22"/>
          <w:szCs w:val="22"/>
          <w:lang w:val="fr-FR"/>
        </w:rPr>
        <w:t xml:space="preserve">Par ailleurs, afin de faire honneur à notre ville hôte, nous accorderons un intérêt particulier aux propositions de communications en lien avec l’histoire, la littérature et la culture du livre de la Colombie-Britannique. </w:t>
      </w:r>
    </w:p>
    <w:p w14:paraId="30023426" w14:textId="77777777" w:rsidR="00B0176E" w:rsidRPr="000521AD" w:rsidRDefault="00B0176E" w:rsidP="000D40B7">
      <w:pPr>
        <w:tabs>
          <w:tab w:val="left" w:pos="1890"/>
        </w:tabs>
        <w:rPr>
          <w:rFonts w:asciiTheme="minorHAnsi" w:hAnsiTheme="minorHAnsi"/>
          <w:sz w:val="22"/>
          <w:szCs w:val="22"/>
          <w:lang w:val="fr-FR"/>
        </w:rPr>
      </w:pPr>
    </w:p>
    <w:p w14:paraId="72375D79" w14:textId="7D9DBB8D" w:rsidR="000D40B7" w:rsidRDefault="00B0176E" w:rsidP="3C525EA4">
      <w:pPr>
        <w:tabs>
          <w:tab w:val="left" w:pos="1890"/>
        </w:tabs>
        <w:rPr>
          <w:rFonts w:asciiTheme="minorHAnsi" w:hAnsiTheme="minorHAnsi"/>
          <w:sz w:val="22"/>
          <w:szCs w:val="22"/>
          <w:lang w:val="fr-CA"/>
        </w:rPr>
      </w:pPr>
      <w:r w:rsidRPr="000521AD">
        <w:rPr>
          <w:rFonts w:asciiTheme="minorHAnsi" w:hAnsiTheme="minorHAnsi"/>
          <w:sz w:val="22"/>
          <w:szCs w:val="22"/>
          <w:lang w:val="fr-FR"/>
        </w:rPr>
        <w:t xml:space="preserve">Veuillez </w:t>
      </w:r>
      <w:r w:rsidR="00B45C84" w:rsidRPr="000521AD">
        <w:rPr>
          <w:rFonts w:asciiTheme="minorHAnsi" w:hAnsiTheme="minorHAnsi"/>
          <w:sz w:val="22"/>
          <w:szCs w:val="22"/>
          <w:lang w:val="fr-FR"/>
        </w:rPr>
        <w:t xml:space="preserve">soumettre d’ici au 30 novembre 2018 votre proposition d’une page, comprenant un résumé et une courte biographie (qui inclut nom complet, désignation professionnelle et affiliation institutionnelle), en français ou en anglais à </w:t>
      </w:r>
      <w:hyperlink r:id="rId6" w:history="1">
        <w:r w:rsidR="00221DA3" w:rsidRPr="00EB6449">
          <w:rPr>
            <w:rStyle w:val="Hyperlink"/>
            <w:rFonts w:asciiTheme="minorHAnsi" w:hAnsiTheme="minorHAnsi"/>
            <w:sz w:val="22"/>
            <w:szCs w:val="22"/>
            <w:lang w:val="fr-CA"/>
          </w:rPr>
          <w:t>proposals@bsc-sbc.ca</w:t>
        </w:r>
      </w:hyperlink>
    </w:p>
    <w:p w14:paraId="1EB8C6A5" w14:textId="77777777" w:rsidR="00221DA3" w:rsidRPr="000521AD" w:rsidRDefault="00221DA3" w:rsidP="3C525EA4">
      <w:pPr>
        <w:tabs>
          <w:tab w:val="left" w:pos="1890"/>
        </w:tabs>
        <w:rPr>
          <w:rFonts w:asciiTheme="minorHAnsi" w:hAnsiTheme="minorHAnsi"/>
          <w:sz w:val="22"/>
          <w:szCs w:val="22"/>
          <w:lang w:val="fr-CA"/>
        </w:rPr>
      </w:pPr>
    </w:p>
    <w:p w14:paraId="0E27B00A" w14:textId="77777777" w:rsidR="003B57AA" w:rsidRPr="000521AD" w:rsidRDefault="003B57AA" w:rsidP="003B57AA">
      <w:pPr>
        <w:tabs>
          <w:tab w:val="left" w:pos="1890"/>
        </w:tabs>
        <w:rPr>
          <w:rFonts w:asciiTheme="minorHAnsi" w:hAnsiTheme="minorHAnsi"/>
          <w:sz w:val="22"/>
          <w:szCs w:val="22"/>
          <w:lang w:val="fr-CA"/>
        </w:rPr>
      </w:pPr>
    </w:p>
    <w:p w14:paraId="60061E4C" w14:textId="77777777" w:rsidR="002C07D9" w:rsidRPr="000521AD" w:rsidRDefault="002C07D9" w:rsidP="002C07D9">
      <w:pPr>
        <w:rPr>
          <w:rFonts w:ascii="Georgia" w:hAnsi="Georgia"/>
          <w:sz w:val="22"/>
          <w:szCs w:val="22"/>
          <w:lang w:val="fr-CA"/>
        </w:rPr>
      </w:pPr>
    </w:p>
    <w:p w14:paraId="44EAFD9C" w14:textId="77777777" w:rsidR="002C07D9" w:rsidRPr="000521AD" w:rsidRDefault="002C07D9" w:rsidP="002C07D9">
      <w:pPr>
        <w:jc w:val="center"/>
        <w:rPr>
          <w:rFonts w:ascii="Georgia" w:hAnsi="Georgia"/>
          <w:sz w:val="22"/>
          <w:szCs w:val="22"/>
          <w:lang w:val="fr-CA"/>
        </w:rPr>
      </w:pPr>
    </w:p>
    <w:p w14:paraId="4B94D5A5" w14:textId="77777777" w:rsidR="009F36F4" w:rsidRPr="000521AD" w:rsidRDefault="009F36F4">
      <w:pPr>
        <w:rPr>
          <w:sz w:val="22"/>
          <w:szCs w:val="22"/>
          <w:lang w:val="fr-CA"/>
        </w:rPr>
      </w:pPr>
    </w:p>
    <w:sectPr w:rsidR="009F36F4" w:rsidRPr="0005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A7DF9"/>
    <w:multiLevelType w:val="hybridMultilevel"/>
    <w:tmpl w:val="FFEA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85C79"/>
    <w:multiLevelType w:val="hybridMultilevel"/>
    <w:tmpl w:val="0BC03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D9"/>
    <w:rsid w:val="000521AD"/>
    <w:rsid w:val="000D40B7"/>
    <w:rsid w:val="00221DA3"/>
    <w:rsid w:val="00271D29"/>
    <w:rsid w:val="002C07D9"/>
    <w:rsid w:val="002D5079"/>
    <w:rsid w:val="00362516"/>
    <w:rsid w:val="003B57AA"/>
    <w:rsid w:val="004518CA"/>
    <w:rsid w:val="00625E8E"/>
    <w:rsid w:val="00674FF6"/>
    <w:rsid w:val="006C66E9"/>
    <w:rsid w:val="009C2B60"/>
    <w:rsid w:val="009E7111"/>
    <w:rsid w:val="009F36F4"/>
    <w:rsid w:val="00A03812"/>
    <w:rsid w:val="00A36921"/>
    <w:rsid w:val="00B0176E"/>
    <w:rsid w:val="00B45C84"/>
    <w:rsid w:val="00C35CC8"/>
    <w:rsid w:val="00D978EA"/>
    <w:rsid w:val="00E1488C"/>
    <w:rsid w:val="00E64174"/>
    <w:rsid w:val="00F50C21"/>
    <w:rsid w:val="3C525EA4"/>
    <w:rsid w:val="7091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5556"/>
  <w15:chartTrackingRefBased/>
  <w15:docId w15:val="{AC49A793-4417-4BFE-921B-C9B7E9DF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D9"/>
    <w:pPr>
      <w:widowControl w:val="0"/>
      <w:autoSpaceDE w:val="0"/>
      <w:autoSpaceDN w:val="0"/>
      <w:adjustRightInd w:val="0"/>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7D9"/>
    <w:rPr>
      <w:color w:val="0563C1" w:themeColor="hyperlink"/>
      <w:u w:val="single"/>
    </w:rPr>
  </w:style>
  <w:style w:type="paragraph" w:styleId="ListParagraph">
    <w:name w:val="List Paragraph"/>
    <w:basedOn w:val="Normal"/>
    <w:uiPriority w:val="34"/>
    <w:qFormat/>
    <w:rsid w:val="006C66E9"/>
    <w:pPr>
      <w:ind w:left="720"/>
      <w:contextualSpacing/>
    </w:pPr>
  </w:style>
  <w:style w:type="character" w:customStyle="1" w:styleId="UnresolvedMention">
    <w:name w:val="Unresolved Mention"/>
    <w:basedOn w:val="DefaultParagraphFont"/>
    <w:uiPriority w:val="99"/>
    <w:semiHidden/>
    <w:unhideWhenUsed/>
    <w:rsid w:val="0022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osals@bsc-sb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Toronto Libraries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Carter</dc:creator>
  <cp:keywords/>
  <dc:description/>
  <cp:lastModifiedBy>Karen Smith</cp:lastModifiedBy>
  <cp:revision>2</cp:revision>
  <dcterms:created xsi:type="dcterms:W3CDTF">2018-10-04T17:02:00Z</dcterms:created>
  <dcterms:modified xsi:type="dcterms:W3CDTF">2018-10-04T17:02:00Z</dcterms:modified>
</cp:coreProperties>
</file>